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11B1" w14:textId="0CAA4BD3" w:rsidR="00B37243" w:rsidRDefault="00B37243" w:rsidP="00B37243">
      <w:pPr>
        <w:jc w:val="center"/>
        <w:rPr>
          <w:rFonts w:ascii="Bell MT" w:hAnsi="Bell MT"/>
          <w:sz w:val="24"/>
          <w:szCs w:val="24"/>
        </w:rPr>
      </w:pPr>
      <w:r w:rsidRPr="00B37243">
        <w:rPr>
          <w:rFonts w:ascii="Bell MT" w:hAnsi="Bell MT"/>
          <w:sz w:val="72"/>
          <w:szCs w:val="72"/>
        </w:rPr>
        <w:t>Pear Tree Consignment</w:t>
      </w:r>
      <w:r>
        <w:rPr>
          <w:rFonts w:ascii="Bell MT" w:hAnsi="Bell MT"/>
          <w:sz w:val="72"/>
          <w:szCs w:val="72"/>
        </w:rPr>
        <w:t xml:space="preserve"> </w:t>
      </w:r>
    </w:p>
    <w:p w14:paraId="318FD4CC" w14:textId="2C6607F1" w:rsidR="00B37243" w:rsidRPr="00B37243" w:rsidRDefault="00B37243" w:rsidP="00B37243">
      <w:pPr>
        <w:rPr>
          <w:sz w:val="18"/>
          <w:szCs w:val="18"/>
        </w:rPr>
      </w:pPr>
      <w:r>
        <w:rPr>
          <w:rFonts w:ascii="Bell MT" w:hAnsi="Bell MT"/>
          <w:sz w:val="24"/>
          <w:szCs w:val="24"/>
        </w:rPr>
        <w:br/>
      </w:r>
      <w:r w:rsidRPr="00B37243">
        <w:rPr>
          <w:sz w:val="18"/>
          <w:szCs w:val="18"/>
        </w:rPr>
        <w:t>If you would like to consign with Pear Tree Consignment, you have several options:  Make an appointment online at www.peartreeconsignment.com, text photos to (425) 480-9090, or drop by with fewer than 10 items (Wed-Sat 11-5).</w:t>
      </w:r>
    </w:p>
    <w:p w14:paraId="75E36A8D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Examples of labels we </w:t>
      </w:r>
      <w:proofErr w:type="gramStart"/>
      <w:r w:rsidRPr="00B37243">
        <w:rPr>
          <w:sz w:val="18"/>
          <w:szCs w:val="18"/>
        </w:rPr>
        <w:t>are able to</w:t>
      </w:r>
      <w:proofErr w:type="gramEnd"/>
      <w:r w:rsidRPr="00B37243">
        <w:rPr>
          <w:sz w:val="18"/>
          <w:szCs w:val="18"/>
        </w:rPr>
        <w:t xml:space="preserve"> take at this time: </w:t>
      </w:r>
    </w:p>
    <w:p w14:paraId="47AA984C" w14:textId="77777777" w:rsidR="00B37243" w:rsidRPr="00B37243" w:rsidRDefault="00B37243" w:rsidP="00C73D32">
      <w:pPr>
        <w:rPr>
          <w:sz w:val="18"/>
          <w:szCs w:val="18"/>
        </w:rPr>
        <w:sectPr w:rsidR="00B37243" w:rsidRPr="00B37243" w:rsidSect="00B3724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3025" w:type="dxa"/>
        <w:tblInd w:w="612" w:type="dxa"/>
        <w:tblLook w:val="04A0" w:firstRow="1" w:lastRow="0" w:firstColumn="1" w:lastColumn="0" w:noHBand="0" w:noVBand="1"/>
      </w:tblPr>
      <w:tblGrid>
        <w:gridCol w:w="1843"/>
        <w:gridCol w:w="222"/>
        <w:gridCol w:w="960"/>
      </w:tblGrid>
      <w:tr w:rsidR="00B37243" w:rsidRPr="00B37243" w14:paraId="06FDCF3A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176E" w14:textId="7E84CC9D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Ann Taylor</w:t>
            </w:r>
          </w:p>
        </w:tc>
      </w:tr>
      <w:tr w:rsidR="00B37243" w:rsidRPr="00B37243" w14:paraId="6C2AA670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85A3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Anthropologie</w:t>
            </w:r>
          </w:p>
        </w:tc>
      </w:tr>
      <w:tr w:rsidR="00B37243" w:rsidRPr="00B37243" w14:paraId="22C9B106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09E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Banana Republic</w:t>
            </w:r>
          </w:p>
        </w:tc>
      </w:tr>
      <w:tr w:rsidR="00B37243" w:rsidRPr="00B37243" w14:paraId="0343D069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A8C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Boden </w:t>
            </w:r>
          </w:p>
          <w:p w14:paraId="40366EC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Coach</w:t>
            </w:r>
          </w:p>
        </w:tc>
      </w:tr>
      <w:tr w:rsidR="00B37243" w:rsidRPr="00B37243" w14:paraId="7FE92F9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0E01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Desigual</w:t>
            </w:r>
          </w:p>
        </w:tc>
      </w:tr>
      <w:tr w:rsidR="00B37243" w:rsidRPr="00B37243" w14:paraId="518FBBA4" w14:textId="77777777" w:rsidTr="00C73D32">
        <w:trPr>
          <w:trHeight w:val="312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25BA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Diane von Furstenberg</w:t>
            </w:r>
          </w:p>
          <w:p w14:paraId="78B810E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proofErr w:type="spellStart"/>
            <w:r w:rsidRPr="00B37243">
              <w:rPr>
                <w:sz w:val="18"/>
                <w:szCs w:val="18"/>
              </w:rPr>
              <w:t>Dooney</w:t>
            </w:r>
            <w:proofErr w:type="spellEnd"/>
            <w:r w:rsidRPr="00B37243">
              <w:rPr>
                <w:sz w:val="18"/>
                <w:szCs w:val="18"/>
              </w:rPr>
              <w:t xml:space="preserve"> &amp; Bourke</w:t>
            </w:r>
          </w:p>
          <w:p w14:paraId="486E7BC9" w14:textId="77777777" w:rsidR="00B37243" w:rsidRPr="00B37243" w:rsidRDefault="00B37243" w:rsidP="00C73D32">
            <w:pPr>
              <w:rPr>
                <w:sz w:val="18"/>
                <w:szCs w:val="18"/>
              </w:rPr>
            </w:pPr>
          </w:p>
        </w:tc>
      </w:tr>
      <w:tr w:rsidR="00B37243" w:rsidRPr="00B37243" w14:paraId="3A26186E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274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Eddie Bauer</w:t>
            </w:r>
          </w:p>
          <w:p w14:paraId="304DF7BF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Eileen Fisher</w:t>
            </w:r>
          </w:p>
        </w:tc>
      </w:tr>
      <w:tr w:rsidR="00B37243" w:rsidRPr="00B37243" w14:paraId="7B9CEAF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F6B8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Free People</w:t>
            </w:r>
          </w:p>
        </w:tc>
      </w:tr>
      <w:tr w:rsidR="00B37243" w:rsidRPr="00B37243" w14:paraId="71B02A39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558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Frye</w:t>
            </w:r>
          </w:p>
        </w:tc>
      </w:tr>
      <w:tr w:rsidR="00B37243" w:rsidRPr="00B37243" w14:paraId="4D53327F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D049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J. Crew</w:t>
            </w:r>
          </w:p>
        </w:tc>
      </w:tr>
      <w:tr w:rsidR="00B37243" w:rsidRPr="00B37243" w14:paraId="224C5D47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11E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Kate Spade</w:t>
            </w:r>
          </w:p>
        </w:tc>
      </w:tr>
      <w:tr w:rsidR="00B37243" w:rsidRPr="00B37243" w14:paraId="1DFC8781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38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Lululemon</w:t>
            </w:r>
          </w:p>
        </w:tc>
      </w:tr>
      <w:tr w:rsidR="00B37243" w:rsidRPr="00B37243" w14:paraId="6D0E490E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21F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Madewell</w:t>
            </w:r>
          </w:p>
        </w:tc>
      </w:tr>
      <w:tr w:rsidR="00B37243" w:rsidRPr="00B37243" w14:paraId="50A58BC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FEF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Mark Jacobs</w:t>
            </w:r>
          </w:p>
        </w:tc>
      </w:tr>
      <w:tr w:rsidR="00B37243" w:rsidRPr="00B37243" w14:paraId="18167166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7070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Michael Kors</w:t>
            </w:r>
          </w:p>
        </w:tc>
      </w:tr>
      <w:tr w:rsidR="00B37243" w:rsidRPr="00B37243" w14:paraId="69574EB1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18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North Face</w:t>
            </w:r>
          </w:p>
        </w:tc>
      </w:tr>
      <w:tr w:rsidR="00B37243" w:rsidRPr="00B37243" w14:paraId="3048EC25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DAB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Outdoor Research</w:t>
            </w:r>
          </w:p>
        </w:tc>
      </w:tr>
      <w:tr w:rsidR="00B37243" w:rsidRPr="00B37243" w14:paraId="7AFD49F8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04C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Patagonia</w:t>
            </w:r>
          </w:p>
        </w:tc>
      </w:tr>
      <w:tr w:rsidR="00B37243" w:rsidRPr="00B37243" w14:paraId="743CD4C5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A81A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Rag &amp; Bone</w:t>
            </w:r>
          </w:p>
        </w:tc>
      </w:tr>
      <w:tr w:rsidR="00B37243" w:rsidRPr="00B37243" w14:paraId="1EA75EA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75E9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Rebecca Minkoff</w:t>
            </w:r>
          </w:p>
        </w:tc>
      </w:tr>
      <w:tr w:rsidR="00B37243" w:rsidRPr="00B37243" w14:paraId="6565A27E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4C45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Theory</w:t>
            </w:r>
          </w:p>
        </w:tc>
      </w:tr>
      <w:tr w:rsidR="00B37243" w:rsidRPr="00B37243" w14:paraId="347398EA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BB28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Tory Burch</w:t>
            </w:r>
          </w:p>
        </w:tc>
      </w:tr>
      <w:tr w:rsidR="00B37243" w:rsidRPr="00B37243" w14:paraId="0745C542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295D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Trina Turk</w:t>
            </w:r>
          </w:p>
        </w:tc>
      </w:tr>
      <w:tr w:rsidR="00B37243" w:rsidRPr="00B37243" w14:paraId="7DE7B37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1AB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Vince</w:t>
            </w:r>
          </w:p>
        </w:tc>
      </w:tr>
      <w:tr w:rsidR="00B37243" w:rsidRPr="00B37243" w14:paraId="0F3850E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41F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Zella</w:t>
            </w:r>
          </w:p>
        </w:tc>
      </w:tr>
    </w:tbl>
    <w:p w14:paraId="2CB03C9B" w14:textId="77777777" w:rsidR="00B37243" w:rsidRPr="00B37243" w:rsidRDefault="00B37243" w:rsidP="00B37243">
      <w:pPr>
        <w:jc w:val="center"/>
        <w:rPr>
          <w:sz w:val="18"/>
          <w:szCs w:val="18"/>
        </w:rPr>
        <w:sectPr w:rsidR="00B37243" w:rsidRPr="00B37243" w:rsidSect="00B372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BE7057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>Items purchased from boutiques (especially the boutiques here in Edmonds)</w:t>
      </w:r>
    </w:p>
    <w:p w14:paraId="2BE88D74" w14:textId="77777777" w:rsidR="00B37243" w:rsidRPr="00B37243" w:rsidRDefault="00B37243" w:rsidP="00B37243">
      <w:pPr>
        <w:pStyle w:val="ListParagraph"/>
        <w:rPr>
          <w:rFonts w:asciiTheme="minorHAnsi" w:hAnsiTheme="minorHAnsi" w:cstheme="minorBidi"/>
          <w:sz w:val="18"/>
          <w:szCs w:val="18"/>
        </w:rPr>
      </w:pPr>
    </w:p>
    <w:p w14:paraId="1387586F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>Designer brands such as: Burberry, Chanel, Gucci, Hermes, Longchamp, Missoni, Prada YSL</w:t>
      </w:r>
    </w:p>
    <w:p w14:paraId="4A586421" w14:textId="77777777" w:rsidR="00B37243" w:rsidRPr="00B37243" w:rsidRDefault="00B37243" w:rsidP="00B37243">
      <w:pPr>
        <w:pStyle w:val="ListParagraph"/>
        <w:rPr>
          <w:rFonts w:asciiTheme="minorHAnsi" w:hAnsiTheme="minorHAnsi" w:cstheme="minorBidi"/>
          <w:sz w:val="18"/>
          <w:szCs w:val="18"/>
        </w:rPr>
      </w:pPr>
    </w:p>
    <w:p w14:paraId="3C061C9B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 xml:space="preserve">We prefer high-quality natural fabrics like cotton, linen, cashmere, silk and Tencel.  Polyester synthetic fabrics do not sell well for us.  </w:t>
      </w:r>
    </w:p>
    <w:p w14:paraId="51843F3F" w14:textId="77777777" w:rsidR="00B37243" w:rsidRPr="00B37243" w:rsidRDefault="00B37243" w:rsidP="00B37243">
      <w:pPr>
        <w:rPr>
          <w:sz w:val="18"/>
          <w:szCs w:val="18"/>
        </w:rPr>
      </w:pPr>
    </w:p>
    <w:p w14:paraId="6DA59347" w14:textId="12964FF3" w:rsidR="00B37243" w:rsidRPr="00B37243" w:rsidRDefault="00B37243" w:rsidP="00B37243">
      <w:pPr>
        <w:rPr>
          <w:b/>
          <w:bCs/>
          <w:sz w:val="18"/>
          <w:szCs w:val="18"/>
        </w:rPr>
      </w:pPr>
      <w:r w:rsidRPr="00B37243">
        <w:rPr>
          <w:b/>
          <w:bCs/>
          <w:sz w:val="18"/>
          <w:szCs w:val="18"/>
        </w:rPr>
        <w:t>Items we are not able to take at this time:  Formal dresses, cocktail dresses, career wear such as suits and trousers, shoes that show noticeable wear, items that are older than 3 years (other than designer and collectible vintage), anything that is not clean, has an odor (including strong fabric softener and detergent odors) or has any visible wear or defects.</w:t>
      </w:r>
    </w:p>
    <w:p w14:paraId="220D5C0C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>Items are kept on sales floor for 8 weeks.  Consignor receives 40% of the sale price.  Any items left beyond 9 weeks may be donated or become property of the store.</w:t>
      </w:r>
    </w:p>
    <w:p w14:paraId="7590F892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Consignors can pick up a check at the store after 8 weeks or accrue store credit and use it anytime.  </w:t>
      </w:r>
    </w:p>
    <w:p w14:paraId="00270750" w14:textId="2B85E6B5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We support local women’s organizations such as Pathways for Women and Dress for </w:t>
      </w:r>
      <w:proofErr w:type="gramStart"/>
      <w:r w:rsidRPr="00B37243">
        <w:rPr>
          <w:sz w:val="18"/>
          <w:szCs w:val="18"/>
        </w:rPr>
        <w:t>Success, and</w:t>
      </w:r>
      <w:proofErr w:type="gramEnd"/>
      <w:r w:rsidRPr="00B37243">
        <w:rPr>
          <w:sz w:val="18"/>
          <w:szCs w:val="18"/>
        </w:rPr>
        <w:t xml:space="preserve"> are happy to donate any unsold items for you.  You may also elect to pick up unsold items if you prefer.</w:t>
      </w:r>
    </w:p>
    <w:p w14:paraId="7450493F" w14:textId="77777777" w:rsidR="00B37243" w:rsidRPr="00B37243" w:rsidRDefault="00B37243" w:rsidP="00B37243">
      <w:pPr>
        <w:jc w:val="center"/>
        <w:rPr>
          <w:sz w:val="18"/>
          <w:szCs w:val="18"/>
        </w:rPr>
      </w:pPr>
    </w:p>
    <w:p w14:paraId="75ED311B" w14:textId="4AF087E4" w:rsidR="00B37243" w:rsidRDefault="00B37243" w:rsidP="00B37243">
      <w:pPr>
        <w:jc w:val="center"/>
        <w:rPr>
          <w:sz w:val="18"/>
          <w:szCs w:val="18"/>
        </w:rPr>
      </w:pPr>
      <w:r w:rsidRPr="00B37243">
        <w:rPr>
          <w:sz w:val="18"/>
          <w:szCs w:val="18"/>
        </w:rPr>
        <w:t xml:space="preserve">Contact us:  </w:t>
      </w:r>
      <w:hyperlink r:id="rId5" w:history="1">
        <w:r w:rsidRPr="00B37243">
          <w:rPr>
            <w:rStyle w:val="Hyperlink"/>
            <w:sz w:val="18"/>
            <w:szCs w:val="18"/>
          </w:rPr>
          <w:t>pear.tree@comcast.net</w:t>
        </w:r>
      </w:hyperlink>
      <w:r w:rsidRPr="00B37243">
        <w:rPr>
          <w:sz w:val="18"/>
          <w:szCs w:val="18"/>
        </w:rPr>
        <w:t xml:space="preserve"> or (425) 480-9090</w:t>
      </w:r>
      <w:r w:rsidRPr="00B37243">
        <w:rPr>
          <w:sz w:val="18"/>
          <w:szCs w:val="18"/>
        </w:rPr>
        <w:br/>
        <w:t>315 5</w:t>
      </w:r>
      <w:r w:rsidRPr="00B37243">
        <w:rPr>
          <w:sz w:val="18"/>
          <w:szCs w:val="18"/>
          <w:vertAlign w:val="superscript"/>
        </w:rPr>
        <w:t>th</w:t>
      </w:r>
      <w:r w:rsidRPr="00B37243">
        <w:rPr>
          <w:sz w:val="18"/>
          <w:szCs w:val="18"/>
        </w:rPr>
        <w:t xml:space="preserve"> Avenue S. Suite D, Edmonds WA  98020</w:t>
      </w:r>
      <w:r w:rsidRPr="00B37243">
        <w:rPr>
          <w:sz w:val="18"/>
          <w:szCs w:val="18"/>
        </w:rPr>
        <w:br/>
        <w:t>Please follow us on Facebook and Instagram</w:t>
      </w:r>
    </w:p>
    <w:p w14:paraId="18D7DBA1" w14:textId="59B31BE7" w:rsidR="00B37243" w:rsidRPr="00B37243" w:rsidRDefault="00B37243" w:rsidP="00B37243">
      <w:pPr>
        <w:jc w:val="center"/>
        <w:rPr>
          <w:color w:val="0070C0"/>
          <w:sz w:val="18"/>
          <w:szCs w:val="18"/>
        </w:rPr>
      </w:pPr>
      <w:r w:rsidRPr="00B37243">
        <w:rPr>
          <w:color w:val="0070C0"/>
          <w:sz w:val="18"/>
          <w:szCs w:val="18"/>
        </w:rPr>
        <w:t>www.PearTreeConsignment.com</w:t>
      </w:r>
    </w:p>
    <w:sectPr w:rsidR="00B37243" w:rsidRPr="00B37243" w:rsidSect="00B3724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546B"/>
    <w:multiLevelType w:val="hybridMultilevel"/>
    <w:tmpl w:val="BFB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3"/>
    <w:rsid w:val="0049191F"/>
    <w:rsid w:val="00B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606F"/>
  <w15:chartTrackingRefBased/>
  <w15:docId w15:val="{0C677292-74C0-4BA2-BB27-77D34A6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4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37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.tre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McGraw</dc:creator>
  <cp:keywords/>
  <dc:description/>
  <cp:lastModifiedBy>Jeff McGraw</cp:lastModifiedBy>
  <cp:revision>1</cp:revision>
  <dcterms:created xsi:type="dcterms:W3CDTF">2020-07-29T04:51:00Z</dcterms:created>
  <dcterms:modified xsi:type="dcterms:W3CDTF">2020-07-29T05:02:00Z</dcterms:modified>
</cp:coreProperties>
</file>